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06" w:rsidRPr="00102169" w:rsidRDefault="00F14806" w:rsidP="00F14806">
      <w:pPr>
        <w:pStyle w:val="ShapkaDocumentu"/>
        <w:ind w:left="5670"/>
      </w:pPr>
      <w:r w:rsidRPr="00102169">
        <w:rPr>
          <w:szCs w:val="28"/>
        </w:rPr>
        <w:t>Д</w:t>
      </w:r>
      <w:r w:rsidRPr="00102169">
        <w:t>одаток 14</w:t>
      </w:r>
      <w:r>
        <w:br/>
      </w:r>
      <w:r w:rsidRPr="00102169">
        <w:t>до Ліцензійних умов</w:t>
      </w:r>
    </w:p>
    <w:p w:rsidR="00F14806" w:rsidRPr="00981028" w:rsidRDefault="00F14806" w:rsidP="00F14806">
      <w:pPr>
        <w:tabs>
          <w:tab w:val="left" w:pos="0"/>
        </w:tabs>
        <w:spacing w:before="480" w:after="240"/>
        <w:contextualSpacing/>
        <w:jc w:val="center"/>
        <w:rPr>
          <w:szCs w:val="26"/>
        </w:rPr>
      </w:pPr>
      <w:r w:rsidRPr="00981028">
        <w:rPr>
          <w:szCs w:val="26"/>
        </w:rPr>
        <w:t xml:space="preserve">ТЕХНОЛОГІЧНІ ВИМОГИ </w:t>
      </w:r>
      <w:r>
        <w:rPr>
          <w:szCs w:val="26"/>
        </w:rPr>
        <w:br/>
      </w:r>
      <w:r w:rsidRPr="00981028">
        <w:rPr>
          <w:szCs w:val="26"/>
        </w:rPr>
        <w:t xml:space="preserve">щодо навчально-методичного забезпечення </w:t>
      </w:r>
      <w:r>
        <w:rPr>
          <w:szCs w:val="26"/>
        </w:rPr>
        <w:br/>
      </w:r>
      <w:r w:rsidRPr="00981028">
        <w:rPr>
          <w:szCs w:val="26"/>
        </w:rPr>
        <w:t>освітньої діяльності у сфері вищої освіти</w:t>
      </w:r>
    </w:p>
    <w:p w:rsidR="00F14806" w:rsidRPr="00981028" w:rsidRDefault="00F14806" w:rsidP="00F14806">
      <w:pPr>
        <w:tabs>
          <w:tab w:val="left" w:pos="0"/>
        </w:tabs>
        <w:contextualSpacing/>
        <w:jc w:val="center"/>
        <w:rPr>
          <w:szCs w:val="26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4320"/>
        <w:gridCol w:w="1395"/>
        <w:gridCol w:w="1395"/>
        <w:gridCol w:w="1395"/>
        <w:gridCol w:w="1395"/>
      </w:tblGrid>
      <w:tr w:rsidR="00F14806" w:rsidRPr="00DE75F8" w:rsidTr="00E64B6B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06" w:rsidRPr="00DE75F8" w:rsidRDefault="00F14806" w:rsidP="00E64B6B">
            <w:pPr>
              <w:jc w:val="center"/>
              <w:rPr>
                <w:sz w:val="24"/>
                <w:szCs w:val="24"/>
              </w:rPr>
            </w:pPr>
            <w:r w:rsidRPr="00DE75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йменування </w:t>
            </w:r>
            <w:r w:rsidRPr="00DE75F8">
              <w:rPr>
                <w:sz w:val="24"/>
                <w:szCs w:val="24"/>
              </w:rPr>
              <w:t>показника (нормативу)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06" w:rsidRPr="00DE75F8" w:rsidRDefault="00F14806" w:rsidP="00E64B6B">
            <w:pPr>
              <w:jc w:val="center"/>
              <w:rPr>
                <w:sz w:val="24"/>
                <w:szCs w:val="24"/>
              </w:rPr>
            </w:pPr>
            <w:r w:rsidRPr="00DE75F8">
              <w:rPr>
                <w:sz w:val="24"/>
                <w:szCs w:val="24"/>
              </w:rPr>
              <w:t>Вимоги до значення показника (нормативу) за рівнями вищої освіти</w:t>
            </w:r>
          </w:p>
        </w:tc>
      </w:tr>
      <w:tr w:rsidR="00F14806" w:rsidRPr="00DE75F8" w:rsidTr="00E64B6B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06" w:rsidRPr="00DE75F8" w:rsidRDefault="00F14806" w:rsidP="00E64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06" w:rsidRPr="00DE75F8" w:rsidRDefault="00F14806" w:rsidP="00E64B6B">
            <w:pPr>
              <w:pStyle w:val="1"/>
              <w:ind w:left="-137" w:right="-108" w:firstLine="0"/>
              <w:jc w:val="center"/>
              <w:outlineLvl w:val="0"/>
              <w:rPr>
                <w:rFonts w:ascii="Antiqua" w:hAnsi="Antiqua"/>
                <w:sz w:val="24"/>
                <w:szCs w:val="24"/>
              </w:rPr>
            </w:pPr>
            <w:r w:rsidRPr="00DE75F8">
              <w:rPr>
                <w:rFonts w:ascii="Antiqua" w:hAnsi="Antiqua"/>
                <w:sz w:val="24"/>
                <w:szCs w:val="24"/>
              </w:rPr>
              <w:t>початковий рівень (короткий цикл)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06" w:rsidRPr="00DE75F8" w:rsidRDefault="00F14806" w:rsidP="00E64B6B">
            <w:pPr>
              <w:pStyle w:val="1"/>
              <w:ind w:right="-85" w:firstLine="0"/>
              <w:jc w:val="center"/>
              <w:outlineLvl w:val="0"/>
              <w:rPr>
                <w:rFonts w:ascii="Antiqua" w:hAnsi="Antiqua"/>
                <w:sz w:val="24"/>
                <w:szCs w:val="24"/>
              </w:rPr>
            </w:pPr>
            <w:r w:rsidRPr="00DE75F8">
              <w:rPr>
                <w:rFonts w:ascii="Antiqua" w:hAnsi="Antiqua"/>
                <w:sz w:val="24"/>
                <w:szCs w:val="24"/>
              </w:rPr>
              <w:t>перший (</w:t>
            </w:r>
            <w:proofErr w:type="spellStart"/>
            <w:r w:rsidRPr="00DE75F8">
              <w:rPr>
                <w:rFonts w:ascii="Antiqua" w:hAnsi="Antiqua"/>
                <w:sz w:val="24"/>
                <w:szCs w:val="24"/>
              </w:rPr>
              <w:t>бакалавр-ський</w:t>
            </w:r>
            <w:proofErr w:type="spellEnd"/>
            <w:r w:rsidRPr="00DE75F8">
              <w:rPr>
                <w:rFonts w:ascii="Antiqua" w:hAnsi="Antiqua"/>
                <w:sz w:val="24"/>
                <w:szCs w:val="24"/>
              </w:rPr>
              <w:t>) рівень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06" w:rsidRPr="00DE75F8" w:rsidRDefault="00F14806" w:rsidP="00E64B6B">
            <w:pPr>
              <w:pStyle w:val="1"/>
              <w:ind w:right="-85" w:firstLine="0"/>
              <w:jc w:val="center"/>
              <w:outlineLvl w:val="0"/>
              <w:rPr>
                <w:rFonts w:ascii="Antiqua" w:hAnsi="Antiqua"/>
                <w:sz w:val="24"/>
                <w:szCs w:val="24"/>
              </w:rPr>
            </w:pPr>
            <w:r w:rsidRPr="00DE75F8">
              <w:rPr>
                <w:rFonts w:ascii="Antiqua" w:hAnsi="Antiqua"/>
                <w:sz w:val="24"/>
                <w:szCs w:val="24"/>
              </w:rPr>
              <w:t>другий (</w:t>
            </w:r>
            <w:proofErr w:type="spellStart"/>
            <w:r w:rsidRPr="00DE75F8">
              <w:rPr>
                <w:rFonts w:ascii="Antiqua" w:hAnsi="Antiqua"/>
                <w:sz w:val="24"/>
                <w:szCs w:val="24"/>
              </w:rPr>
              <w:t>магістер-ський</w:t>
            </w:r>
            <w:proofErr w:type="spellEnd"/>
            <w:r w:rsidRPr="00DE75F8">
              <w:rPr>
                <w:rFonts w:ascii="Antiqua" w:hAnsi="Antiqua"/>
                <w:sz w:val="24"/>
                <w:szCs w:val="24"/>
              </w:rPr>
              <w:t>) рівень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06" w:rsidRPr="00DE75F8" w:rsidRDefault="00F14806" w:rsidP="00E64B6B">
            <w:pPr>
              <w:pStyle w:val="1"/>
              <w:ind w:firstLine="0"/>
              <w:jc w:val="center"/>
              <w:outlineLvl w:val="0"/>
              <w:rPr>
                <w:rFonts w:ascii="Antiqua" w:hAnsi="Antiqua"/>
                <w:sz w:val="24"/>
                <w:szCs w:val="24"/>
              </w:rPr>
            </w:pPr>
            <w:r w:rsidRPr="00DE75F8">
              <w:rPr>
                <w:rFonts w:ascii="Antiqua" w:hAnsi="Antiqua"/>
                <w:sz w:val="24"/>
                <w:szCs w:val="24"/>
              </w:rPr>
              <w:t>третій (</w:t>
            </w:r>
            <w:proofErr w:type="spellStart"/>
            <w:r w:rsidRPr="00DE75F8">
              <w:rPr>
                <w:rFonts w:ascii="Antiqua" w:hAnsi="Antiqua"/>
                <w:sz w:val="24"/>
                <w:szCs w:val="24"/>
              </w:rPr>
              <w:t>освітньо-науковий</w:t>
            </w:r>
            <w:proofErr w:type="spellEnd"/>
            <w:r w:rsidRPr="00DE75F8">
              <w:rPr>
                <w:rFonts w:ascii="Antiqua" w:hAnsi="Antiqua"/>
                <w:sz w:val="24"/>
                <w:szCs w:val="24"/>
              </w:rPr>
              <w:t>) рівень</w:t>
            </w:r>
          </w:p>
        </w:tc>
      </w:tr>
      <w:tr w:rsidR="00F14806" w:rsidRPr="00981028" w:rsidTr="00E64B6B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981028">
              <w:rPr>
                <w:szCs w:val="26"/>
              </w:rPr>
              <w:t>апочаткуванн</w:t>
            </w:r>
            <w:r>
              <w:rPr>
                <w:szCs w:val="26"/>
              </w:rPr>
              <w:t>я</w:t>
            </w:r>
            <w:r w:rsidRPr="00981028">
              <w:rPr>
                <w:szCs w:val="26"/>
              </w:rPr>
              <w:t xml:space="preserve"> </w:t>
            </w:r>
            <w:r>
              <w:rPr>
                <w:szCs w:val="26"/>
              </w:rPr>
              <w:t>провадження</w:t>
            </w:r>
            <w:r w:rsidRPr="00981028">
              <w:rPr>
                <w:szCs w:val="26"/>
              </w:rPr>
              <w:t xml:space="preserve"> освітньої діяльності</w:t>
            </w:r>
          </w:p>
        </w:tc>
      </w:tr>
      <w:tr w:rsidR="00F14806" w:rsidRPr="00981028" w:rsidTr="00E64B6B">
        <w:trPr>
          <w:cantSplit/>
        </w:trPr>
        <w:tc>
          <w:tcPr>
            <w:tcW w:w="4320" w:type="dxa"/>
          </w:tcPr>
          <w:p w:rsidR="00F14806" w:rsidRPr="00981028" w:rsidRDefault="00F14806" w:rsidP="00E64B6B">
            <w:pPr>
              <w:spacing w:before="120"/>
              <w:rPr>
                <w:szCs w:val="26"/>
              </w:rPr>
            </w:pPr>
            <w:r w:rsidRPr="00981028">
              <w:rPr>
                <w:szCs w:val="26"/>
              </w:rPr>
              <w:t>1. Наявність опису освітньої програми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</w:tr>
      <w:tr w:rsidR="00F14806" w:rsidRPr="00981028" w:rsidTr="00E64B6B">
        <w:trPr>
          <w:cantSplit/>
        </w:trPr>
        <w:tc>
          <w:tcPr>
            <w:tcW w:w="4320" w:type="dxa"/>
          </w:tcPr>
          <w:p w:rsidR="00F14806" w:rsidRPr="00981028" w:rsidRDefault="00F14806" w:rsidP="00E64B6B">
            <w:pPr>
              <w:spacing w:before="120"/>
              <w:rPr>
                <w:szCs w:val="26"/>
              </w:rPr>
            </w:pPr>
            <w:r w:rsidRPr="00981028">
              <w:rPr>
                <w:szCs w:val="26"/>
              </w:rPr>
              <w:t>2. Наявність навчального плану та пояснювальної записки до нього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</w:tr>
      <w:tr w:rsidR="00F14806" w:rsidRPr="00981028" w:rsidTr="00E64B6B">
        <w:trPr>
          <w:cantSplit/>
        </w:trPr>
        <w:tc>
          <w:tcPr>
            <w:tcW w:w="9900" w:type="dxa"/>
            <w:gridSpan w:val="5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Провадження</w:t>
            </w:r>
            <w:r w:rsidRPr="00981028">
              <w:rPr>
                <w:szCs w:val="26"/>
              </w:rPr>
              <w:t xml:space="preserve"> освітньої діяльності</w:t>
            </w:r>
          </w:p>
        </w:tc>
      </w:tr>
      <w:tr w:rsidR="00F14806" w:rsidRPr="00981028" w:rsidTr="00E64B6B">
        <w:trPr>
          <w:cantSplit/>
        </w:trPr>
        <w:tc>
          <w:tcPr>
            <w:tcW w:w="4320" w:type="dxa"/>
          </w:tcPr>
          <w:p w:rsidR="00F14806" w:rsidRPr="00981028" w:rsidRDefault="00F14806" w:rsidP="00E64B6B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Pr="00981028">
              <w:rPr>
                <w:szCs w:val="26"/>
              </w:rPr>
              <w:t xml:space="preserve">Наявність робочої програми </w:t>
            </w:r>
            <w:r>
              <w:rPr>
                <w:szCs w:val="26"/>
              </w:rPr>
              <w:t xml:space="preserve">з кожної </w:t>
            </w:r>
            <w:r w:rsidRPr="00981028">
              <w:rPr>
                <w:szCs w:val="26"/>
              </w:rPr>
              <w:t>навчальної дисципліни</w:t>
            </w:r>
            <w:r>
              <w:rPr>
                <w:szCs w:val="26"/>
              </w:rPr>
              <w:t xml:space="preserve"> навчального плану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</w:tr>
      <w:tr w:rsidR="00F14806" w:rsidRPr="00981028" w:rsidTr="00E64B6B">
        <w:trPr>
          <w:cantSplit/>
        </w:trPr>
        <w:tc>
          <w:tcPr>
            <w:tcW w:w="4320" w:type="dxa"/>
          </w:tcPr>
          <w:p w:rsidR="00F14806" w:rsidRPr="00981028" w:rsidRDefault="00F14806" w:rsidP="00E64B6B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4.</w:t>
            </w:r>
            <w:r w:rsidRPr="00981028">
              <w:rPr>
                <w:szCs w:val="26"/>
              </w:rPr>
              <w:t xml:space="preserve"> Наявність комплексу навчально-методичного забезпечення </w:t>
            </w:r>
            <w:r>
              <w:rPr>
                <w:szCs w:val="26"/>
              </w:rPr>
              <w:t xml:space="preserve">з кожної </w:t>
            </w:r>
            <w:r w:rsidRPr="00981028">
              <w:rPr>
                <w:szCs w:val="26"/>
              </w:rPr>
              <w:t>навчальної дисципліни</w:t>
            </w:r>
            <w:r>
              <w:rPr>
                <w:szCs w:val="26"/>
              </w:rPr>
              <w:t xml:space="preserve"> навчального плану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</w:tr>
      <w:tr w:rsidR="00F14806" w:rsidRPr="00981028" w:rsidTr="00E64B6B">
        <w:trPr>
          <w:cantSplit/>
        </w:trPr>
        <w:tc>
          <w:tcPr>
            <w:tcW w:w="4320" w:type="dxa"/>
          </w:tcPr>
          <w:p w:rsidR="00F14806" w:rsidRPr="00981028" w:rsidRDefault="00F14806" w:rsidP="00E64B6B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981028">
              <w:rPr>
                <w:szCs w:val="26"/>
              </w:rPr>
              <w:t>. Наявність програми практичної підготовки, робочих програм практик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</w:tr>
      <w:tr w:rsidR="00F14806" w:rsidRPr="00981028" w:rsidTr="00E64B6B">
        <w:trPr>
          <w:cantSplit/>
        </w:trPr>
        <w:tc>
          <w:tcPr>
            <w:tcW w:w="4320" w:type="dxa"/>
          </w:tcPr>
          <w:p w:rsidR="00F14806" w:rsidRPr="00981028" w:rsidRDefault="00F14806" w:rsidP="00E64B6B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981028">
              <w:rPr>
                <w:szCs w:val="26"/>
              </w:rPr>
              <w:t xml:space="preserve">. Забезпеченість студентів </w:t>
            </w:r>
            <w:r w:rsidRPr="00981028">
              <w:rPr>
                <w:spacing w:val="-4"/>
                <w:szCs w:val="26"/>
              </w:rPr>
              <w:t>навчальними матеріалами з кожної</w:t>
            </w:r>
            <w:r w:rsidRPr="00981028">
              <w:rPr>
                <w:szCs w:val="26"/>
              </w:rPr>
              <w:t xml:space="preserve"> навчальної дисципліни навчального плану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</w:tr>
      <w:tr w:rsidR="00F14806" w:rsidRPr="00981028" w:rsidTr="00E64B6B">
        <w:trPr>
          <w:cantSplit/>
        </w:trPr>
        <w:tc>
          <w:tcPr>
            <w:tcW w:w="4320" w:type="dxa"/>
          </w:tcPr>
          <w:p w:rsidR="00F14806" w:rsidRPr="00981028" w:rsidRDefault="00F14806" w:rsidP="00E64B6B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981028">
              <w:rPr>
                <w:szCs w:val="26"/>
              </w:rPr>
              <w:t>. Наявність методичних матеріалів для проведення атестації здобувачів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  <w:tc>
          <w:tcPr>
            <w:tcW w:w="1395" w:type="dxa"/>
          </w:tcPr>
          <w:p w:rsidR="00F14806" w:rsidRPr="00981028" w:rsidRDefault="00F14806" w:rsidP="00E64B6B">
            <w:pPr>
              <w:spacing w:before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+</w:t>
            </w:r>
          </w:p>
        </w:tc>
      </w:tr>
    </w:tbl>
    <w:p w:rsidR="00F14806" w:rsidRPr="00981028" w:rsidRDefault="00F14806" w:rsidP="00F14806">
      <w:pPr>
        <w:jc w:val="both"/>
        <w:rPr>
          <w:szCs w:val="26"/>
        </w:rPr>
      </w:pPr>
      <w:r>
        <w:rPr>
          <w:szCs w:val="26"/>
        </w:rPr>
        <w:t>_________</w:t>
      </w:r>
    </w:p>
    <w:p w:rsidR="00F14806" w:rsidRPr="00CB2FCD" w:rsidRDefault="00F14806" w:rsidP="00F14806">
      <w:pPr>
        <w:spacing w:before="120"/>
        <w:ind w:left="1106" w:hanging="1134"/>
        <w:rPr>
          <w:sz w:val="22"/>
          <w:szCs w:val="22"/>
        </w:rPr>
      </w:pPr>
      <w:r w:rsidRPr="00CB2FCD">
        <w:rPr>
          <w:sz w:val="22"/>
          <w:szCs w:val="22"/>
        </w:rPr>
        <w:t xml:space="preserve">Примітки: 1. У </w:t>
      </w:r>
      <w:r>
        <w:rPr>
          <w:sz w:val="22"/>
          <w:szCs w:val="22"/>
        </w:rPr>
        <w:t>пункті</w:t>
      </w:r>
      <w:r w:rsidRPr="00CB2FCD">
        <w:rPr>
          <w:sz w:val="22"/>
          <w:szCs w:val="22"/>
        </w:rPr>
        <w:t xml:space="preserve"> 3 складовими</w:t>
      </w:r>
      <w:r>
        <w:rPr>
          <w:sz w:val="22"/>
          <w:szCs w:val="22"/>
        </w:rPr>
        <w:t xml:space="preserve"> частинами</w:t>
      </w:r>
      <w:r w:rsidRPr="00CB2FCD">
        <w:rPr>
          <w:sz w:val="22"/>
          <w:szCs w:val="22"/>
        </w:rPr>
        <w:t xml:space="preserve"> робочої програми навчальної дисципліни є опис навчальної дисципліни, заплановані результати навчання, програма, структура (тематичний план) навчальної дисципліни, теми семінарських (практичних, лабораторних) занять, </w:t>
      </w:r>
      <w:r>
        <w:rPr>
          <w:sz w:val="22"/>
          <w:szCs w:val="22"/>
        </w:rPr>
        <w:t xml:space="preserve">завдання для </w:t>
      </w:r>
      <w:r w:rsidRPr="00CB2FCD">
        <w:rPr>
          <w:sz w:val="22"/>
          <w:szCs w:val="22"/>
        </w:rPr>
        <w:t>самостійної роботи, індивідуальні завдання, методи контролю, схема нарахування балів, рекомендована література (основна, допоміжна), інформаційні ресурси в Інтернеті.</w:t>
      </w:r>
    </w:p>
    <w:p w:rsidR="00F14806" w:rsidRPr="00CB2FCD" w:rsidRDefault="00F14806" w:rsidP="00F14806">
      <w:pPr>
        <w:spacing w:before="120"/>
        <w:ind w:left="1106"/>
        <w:rPr>
          <w:sz w:val="22"/>
          <w:szCs w:val="22"/>
        </w:rPr>
      </w:pPr>
      <w:r w:rsidRPr="00CB2FCD">
        <w:rPr>
          <w:sz w:val="22"/>
          <w:szCs w:val="22"/>
        </w:rPr>
        <w:t xml:space="preserve">2. У </w:t>
      </w:r>
      <w:r>
        <w:rPr>
          <w:sz w:val="22"/>
          <w:szCs w:val="22"/>
        </w:rPr>
        <w:t>пункті</w:t>
      </w:r>
      <w:r w:rsidRPr="00CB2FCD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CB2FCD">
        <w:rPr>
          <w:sz w:val="22"/>
          <w:szCs w:val="22"/>
        </w:rPr>
        <w:t xml:space="preserve"> складовими частини комплексу навчально-методичного забезпечення навчальної дисципліни є навчальний контент (конспект або розширений план лекцій), плани практичних (семінарських) занять, завдання для лабораторних робіт,</w:t>
      </w:r>
      <w:r>
        <w:rPr>
          <w:sz w:val="22"/>
          <w:szCs w:val="22"/>
        </w:rPr>
        <w:t xml:space="preserve"> </w:t>
      </w:r>
      <w:r w:rsidRPr="00CB2FCD">
        <w:rPr>
          <w:sz w:val="22"/>
          <w:szCs w:val="22"/>
        </w:rPr>
        <w:lastRenderedPageBreak/>
        <w:t>самостійної роботи, питання, задачі, завдання або кейс</w:t>
      </w:r>
      <w:r>
        <w:rPr>
          <w:sz w:val="22"/>
          <w:szCs w:val="22"/>
        </w:rPr>
        <w:t>и</w:t>
      </w:r>
      <w:r w:rsidRPr="00CB2FCD">
        <w:rPr>
          <w:sz w:val="22"/>
          <w:szCs w:val="22"/>
        </w:rPr>
        <w:t xml:space="preserve"> для поточного та підсумкового контролю знань і вмінь студентів, комплексної контрольної роботи</w:t>
      </w:r>
      <w:r>
        <w:rPr>
          <w:sz w:val="22"/>
          <w:szCs w:val="22"/>
        </w:rPr>
        <w:t>,</w:t>
      </w:r>
      <w:r w:rsidRPr="00CB2F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післяатестаційного</w:t>
      </w:r>
      <w:proofErr w:type="spellEnd"/>
      <w:r>
        <w:rPr>
          <w:sz w:val="22"/>
          <w:szCs w:val="22"/>
        </w:rPr>
        <w:t xml:space="preserve"> моніторингу</w:t>
      </w:r>
      <w:r w:rsidRPr="00CB2FCD">
        <w:rPr>
          <w:sz w:val="22"/>
          <w:szCs w:val="22"/>
        </w:rPr>
        <w:t xml:space="preserve"> набутих знань і вмінь з навчальної дисципліни.</w:t>
      </w:r>
    </w:p>
    <w:p w:rsidR="00FB08CE" w:rsidRDefault="00F14806" w:rsidP="00F14806">
      <w:r w:rsidRPr="00CB2FCD">
        <w:rPr>
          <w:sz w:val="22"/>
          <w:szCs w:val="22"/>
        </w:rPr>
        <w:t xml:space="preserve">3. У пункті </w:t>
      </w:r>
      <w:r>
        <w:rPr>
          <w:sz w:val="22"/>
          <w:szCs w:val="22"/>
        </w:rPr>
        <w:t>6</w:t>
      </w:r>
      <w:r w:rsidRPr="00CB2FCD">
        <w:rPr>
          <w:sz w:val="22"/>
          <w:szCs w:val="22"/>
        </w:rPr>
        <w:t xml:space="preserve"> забезпеченістю навчальними матеріалами вважається наявність підручників, навчальних посібників, конспектів лекцій, хрестоматій </w:t>
      </w:r>
      <w:r>
        <w:rPr>
          <w:sz w:val="22"/>
          <w:szCs w:val="22"/>
        </w:rPr>
        <w:t xml:space="preserve">згідно з переліком </w:t>
      </w:r>
      <w:r w:rsidRPr="00CB2FCD">
        <w:rPr>
          <w:sz w:val="22"/>
          <w:szCs w:val="22"/>
        </w:rPr>
        <w:t xml:space="preserve">рекомендованої літератури з розрахунку один примірник на п’ять осіб фактичного контингенту студентів та заявленого додаткового ліцензованого обсягу в разі розширення </w:t>
      </w:r>
      <w:r>
        <w:rPr>
          <w:sz w:val="22"/>
          <w:szCs w:val="22"/>
        </w:rPr>
        <w:t xml:space="preserve">провадження </w:t>
      </w:r>
      <w:r w:rsidRPr="00CB2FCD">
        <w:rPr>
          <w:sz w:val="22"/>
          <w:szCs w:val="22"/>
        </w:rPr>
        <w:t>освітньої діяльності або</w:t>
      </w:r>
      <w:r>
        <w:rPr>
          <w:sz w:val="22"/>
          <w:szCs w:val="22"/>
        </w:rPr>
        <w:t xml:space="preserve"> їх наявність</w:t>
      </w:r>
      <w:r w:rsidRPr="00CB2FCD">
        <w:rPr>
          <w:sz w:val="22"/>
          <w:szCs w:val="22"/>
        </w:rPr>
        <w:t xml:space="preserve"> в електронній формі (у локальному чи віддаленому доступі) для необмеженої кількості користувачів з дотриманням </w:t>
      </w:r>
      <w:r>
        <w:rPr>
          <w:sz w:val="22"/>
          <w:szCs w:val="22"/>
        </w:rPr>
        <w:t xml:space="preserve">вимог </w:t>
      </w:r>
      <w:r w:rsidRPr="00CB2FCD">
        <w:rPr>
          <w:sz w:val="22"/>
          <w:szCs w:val="22"/>
        </w:rPr>
        <w:t>законодавства про інтелектуальну власність. Для вибіркових навчальних дисциплін дозволяється використання навчальних матеріалів лише в електронній формі.</w:t>
      </w:r>
    </w:p>
    <w:sectPr w:rsidR="00FB08CE" w:rsidSect="00F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4806"/>
    <w:rsid w:val="00F14806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1480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14806"/>
    <w:pPr>
      <w:keepNext/>
      <w:keepLines/>
      <w:spacing w:after="240"/>
      <w:ind w:left="3969"/>
      <w:jc w:val="center"/>
    </w:pPr>
  </w:style>
  <w:style w:type="paragraph" w:customStyle="1" w:styleId="1">
    <w:name w:val="заголовок 1"/>
    <w:basedOn w:val="a"/>
    <w:next w:val="a"/>
    <w:rsid w:val="00F14806"/>
    <w:pPr>
      <w:keepNext/>
      <w:autoSpaceDE w:val="0"/>
      <w:autoSpaceDN w:val="0"/>
      <w:ind w:firstLine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2016-01-25T13:16:00Z</dcterms:created>
  <dcterms:modified xsi:type="dcterms:W3CDTF">2016-01-25T13:16:00Z</dcterms:modified>
</cp:coreProperties>
</file>